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7550" w14:textId="77777777" w:rsidR="007749E6" w:rsidRPr="007232AD" w:rsidRDefault="00000000">
      <w:pPr>
        <w:shd w:val="clear" w:color="auto" w:fill="151513"/>
        <w:spacing w:before="60" w:after="40"/>
        <w:jc w:val="center"/>
        <w:rPr>
          <w:lang w:val="it-IT"/>
        </w:rPr>
      </w:pPr>
      <w:r w:rsidRPr="007232AD">
        <w:rPr>
          <w:rFonts w:ascii="Georgia" w:eastAsia="Georgia" w:hAnsi="Georgia" w:cs="Georgia"/>
          <w:b/>
          <w:bCs/>
          <w:color w:val="CBB07E"/>
          <w:sz w:val="40"/>
          <w:szCs w:val="40"/>
          <w:lang w:val="it-IT"/>
        </w:rPr>
        <w:t>L Y N D O N   F I E L D S</w:t>
      </w:r>
    </w:p>
    <w:p w14:paraId="00E95655" w14:textId="77777777" w:rsidR="007749E6" w:rsidRDefault="00000000">
      <w:pPr>
        <w:shd w:val="clear" w:color="auto" w:fill="151513"/>
        <w:spacing w:after="60"/>
        <w:jc w:val="center"/>
      </w:pPr>
      <w:r>
        <w:rPr>
          <w:color w:val="FFFFFF"/>
        </w:rPr>
        <w:t>Land at Canterbury Road, Lyminge  —  Public Exhibition Feedback</w:t>
      </w:r>
    </w:p>
    <w:p w14:paraId="12A1AD4F" w14:textId="60A66810" w:rsidR="007749E6" w:rsidRDefault="007232AD">
      <w:pPr>
        <w:pBdr>
          <w:bottom w:val="single" w:sz="10" w:space="4" w:color="B69B6B"/>
        </w:pBdr>
        <w:spacing w:after="80"/>
      </w:pPr>
      <w:r>
        <w:rPr>
          <w:color w:val="555555"/>
          <w:sz w:val="18"/>
          <w:szCs w:val="18"/>
        </w:rPr>
        <w:t>Lyminge Village Hall  •  22/06/2026  •  Hosted by Quinn Estates Ltd</w:t>
      </w:r>
    </w:p>
    <w:p w14:paraId="5F826C8A" w14:textId="77777777" w:rsidR="007749E6" w:rsidRDefault="00000000">
      <w:pPr>
        <w:spacing w:after="40"/>
      </w:pPr>
      <w:r>
        <w:rPr>
          <w:i/>
          <w:iCs/>
          <w:sz w:val="18"/>
          <w:szCs w:val="18"/>
        </w:rPr>
        <w:t>Thank you for taking the time to look at our proposals for up to 18 new family homes on land at Canterbury Road. Your feedback will be reviewed and, where possible, used to refine the scheme before an outline planning application is submitted. Please complete this short form and hand it to a member of the team, or post it in the box provided.</w:t>
      </w:r>
    </w:p>
    <w:p w14:paraId="298AE25B" w14:textId="77777777" w:rsidR="007749E6" w:rsidRDefault="00000000">
      <w:pPr>
        <w:shd w:val="clear" w:color="auto" w:fill="151513"/>
        <w:spacing w:before="140" w:after="60"/>
      </w:pPr>
      <w:r>
        <w:rPr>
          <w:b/>
          <w:bCs/>
          <w:color w:val="CBB07E"/>
          <w:sz w:val="20"/>
          <w:szCs w:val="20"/>
        </w:rPr>
        <w:t xml:space="preserve">  A.  </w:t>
      </w:r>
      <w:r>
        <w:rPr>
          <w:b/>
          <w:bCs/>
          <w:color w:val="FFFFFF"/>
          <w:sz w:val="20"/>
          <w:szCs w:val="20"/>
        </w:rPr>
        <w:t>About you</w:t>
      </w:r>
    </w:p>
    <w:p w14:paraId="501A94B9" w14:textId="4F3C733C" w:rsidR="007749E6" w:rsidRDefault="00000000">
      <w:pPr>
        <w:spacing w:after="40"/>
      </w:pPr>
      <w:r>
        <w:t>Your connection to Lyminge (tick all that apply):</w:t>
      </w:r>
    </w:p>
    <w:p w14:paraId="26C86AFB" w14:textId="77777777" w:rsidR="007749E6" w:rsidRDefault="00000000">
      <w:pPr>
        <w:spacing w:after="60"/>
      </w:pPr>
      <w:r>
        <w:t xml:space="preserve">☐ Lyminge resident    ☐ Live nearby    ☐ Work locally    ☐ Local business    ☐ Just visiting    </w:t>
      </w:r>
    </w:p>
    <w:p w14:paraId="71BCD6A1" w14:textId="77777777" w:rsidR="007749E6" w:rsidRDefault="00000000">
      <w:pPr>
        <w:shd w:val="clear" w:color="auto" w:fill="151513"/>
        <w:spacing w:before="140" w:after="60"/>
      </w:pPr>
      <w:r>
        <w:rPr>
          <w:b/>
          <w:bCs/>
          <w:color w:val="CBB07E"/>
          <w:sz w:val="20"/>
          <w:szCs w:val="20"/>
        </w:rPr>
        <w:t xml:space="preserve">  B.  </w:t>
      </w:r>
      <w:r>
        <w:rPr>
          <w:b/>
          <w:bCs/>
          <w:color w:val="FFFFFF"/>
          <w:sz w:val="20"/>
          <w:szCs w:val="20"/>
        </w:rPr>
        <w:t>Your views on the proposals</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90"/>
        <w:gridCol w:w="1020"/>
        <w:gridCol w:w="1020"/>
        <w:gridCol w:w="1020"/>
        <w:gridCol w:w="1020"/>
        <w:gridCol w:w="1020"/>
      </w:tblGrid>
      <w:tr w:rsidR="007749E6" w14:paraId="340E4B79" w14:textId="77777777">
        <w:trPr>
          <w:tblHeader/>
        </w:trPr>
        <w:tc>
          <w:tcPr>
            <w:tcW w:w="4790" w:type="dxa"/>
            <w:tcBorders>
              <w:top w:val="single" w:sz="4" w:space="0" w:color="C9C0AC"/>
              <w:left w:val="single" w:sz="4" w:space="0" w:color="C9C0AC"/>
              <w:bottom w:val="single" w:sz="4" w:space="0" w:color="C9C0AC"/>
              <w:right w:val="single" w:sz="4" w:space="0" w:color="C9C0AC"/>
            </w:tcBorders>
            <w:shd w:val="clear" w:color="auto" w:fill="EFE9DB"/>
            <w:tcMar>
              <w:top w:w="30" w:type="dxa"/>
              <w:left w:w="90" w:type="dxa"/>
              <w:bottom w:w="30" w:type="dxa"/>
              <w:right w:w="90" w:type="dxa"/>
            </w:tcMar>
            <w:vAlign w:val="center"/>
          </w:tcPr>
          <w:p w14:paraId="7482C836" w14:textId="77777777" w:rsidR="007749E6" w:rsidRDefault="00000000">
            <w:r>
              <w:rPr>
                <w:b/>
                <w:bCs/>
                <w:i/>
                <w:iCs/>
                <w:sz w:val="16"/>
                <w:szCs w:val="16"/>
              </w:rPr>
              <w:t>Please mark one box per statement</w:t>
            </w:r>
          </w:p>
        </w:tc>
        <w:tc>
          <w:tcPr>
            <w:tcW w:w="1020" w:type="dxa"/>
            <w:tcBorders>
              <w:top w:val="single" w:sz="4" w:space="0" w:color="C9C0AC"/>
              <w:left w:val="single" w:sz="4" w:space="0" w:color="C9C0AC"/>
              <w:bottom w:val="single" w:sz="4" w:space="0" w:color="C9C0AC"/>
              <w:right w:val="single" w:sz="4" w:space="0" w:color="C9C0AC"/>
            </w:tcBorders>
            <w:shd w:val="clear" w:color="auto" w:fill="EFE9DB"/>
            <w:tcMar>
              <w:top w:w="30" w:type="dxa"/>
              <w:left w:w="30" w:type="dxa"/>
              <w:bottom w:w="30" w:type="dxa"/>
              <w:right w:w="30" w:type="dxa"/>
            </w:tcMar>
            <w:vAlign w:val="center"/>
          </w:tcPr>
          <w:p w14:paraId="5847A4D8" w14:textId="77777777" w:rsidR="007749E6" w:rsidRDefault="00000000">
            <w:pPr>
              <w:spacing w:line="200" w:lineRule="auto"/>
              <w:jc w:val="center"/>
            </w:pPr>
            <w:r>
              <w:rPr>
                <w:b/>
                <w:bCs/>
                <w:sz w:val="15"/>
                <w:szCs w:val="15"/>
              </w:rPr>
              <w:t>Strongly</w:t>
            </w:r>
          </w:p>
          <w:p w14:paraId="4F8BDB98" w14:textId="77777777" w:rsidR="007749E6" w:rsidRDefault="00000000">
            <w:pPr>
              <w:spacing w:line="200" w:lineRule="auto"/>
              <w:jc w:val="center"/>
            </w:pPr>
            <w:r>
              <w:rPr>
                <w:b/>
                <w:bCs/>
                <w:sz w:val="15"/>
                <w:szCs w:val="15"/>
              </w:rPr>
              <w:t>agree</w:t>
            </w:r>
          </w:p>
        </w:tc>
        <w:tc>
          <w:tcPr>
            <w:tcW w:w="1020" w:type="dxa"/>
            <w:tcBorders>
              <w:top w:val="single" w:sz="4" w:space="0" w:color="C9C0AC"/>
              <w:left w:val="single" w:sz="4" w:space="0" w:color="C9C0AC"/>
              <w:bottom w:val="single" w:sz="4" w:space="0" w:color="C9C0AC"/>
              <w:right w:val="single" w:sz="4" w:space="0" w:color="C9C0AC"/>
            </w:tcBorders>
            <w:shd w:val="clear" w:color="auto" w:fill="EFE9DB"/>
            <w:tcMar>
              <w:top w:w="30" w:type="dxa"/>
              <w:left w:w="30" w:type="dxa"/>
              <w:bottom w:w="30" w:type="dxa"/>
              <w:right w:w="30" w:type="dxa"/>
            </w:tcMar>
            <w:vAlign w:val="center"/>
          </w:tcPr>
          <w:p w14:paraId="437429FD" w14:textId="77777777" w:rsidR="007749E6" w:rsidRDefault="00000000">
            <w:pPr>
              <w:spacing w:line="200" w:lineRule="auto"/>
              <w:jc w:val="center"/>
            </w:pPr>
            <w:r>
              <w:rPr>
                <w:b/>
                <w:bCs/>
                <w:sz w:val="15"/>
                <w:szCs w:val="15"/>
              </w:rPr>
              <w:t>Agree</w:t>
            </w:r>
          </w:p>
        </w:tc>
        <w:tc>
          <w:tcPr>
            <w:tcW w:w="1020" w:type="dxa"/>
            <w:tcBorders>
              <w:top w:val="single" w:sz="4" w:space="0" w:color="C9C0AC"/>
              <w:left w:val="single" w:sz="4" w:space="0" w:color="C9C0AC"/>
              <w:bottom w:val="single" w:sz="4" w:space="0" w:color="C9C0AC"/>
              <w:right w:val="single" w:sz="4" w:space="0" w:color="C9C0AC"/>
            </w:tcBorders>
            <w:shd w:val="clear" w:color="auto" w:fill="EFE9DB"/>
            <w:tcMar>
              <w:top w:w="30" w:type="dxa"/>
              <w:left w:w="30" w:type="dxa"/>
              <w:bottom w:w="30" w:type="dxa"/>
              <w:right w:w="30" w:type="dxa"/>
            </w:tcMar>
            <w:vAlign w:val="center"/>
          </w:tcPr>
          <w:p w14:paraId="5A7BAB98" w14:textId="77777777" w:rsidR="007749E6" w:rsidRDefault="00000000">
            <w:pPr>
              <w:spacing w:line="200" w:lineRule="auto"/>
              <w:jc w:val="center"/>
            </w:pPr>
            <w:r>
              <w:rPr>
                <w:b/>
                <w:bCs/>
                <w:sz w:val="15"/>
                <w:szCs w:val="15"/>
              </w:rPr>
              <w:t>Neutral</w:t>
            </w:r>
          </w:p>
        </w:tc>
        <w:tc>
          <w:tcPr>
            <w:tcW w:w="1020" w:type="dxa"/>
            <w:tcBorders>
              <w:top w:val="single" w:sz="4" w:space="0" w:color="C9C0AC"/>
              <w:left w:val="single" w:sz="4" w:space="0" w:color="C9C0AC"/>
              <w:bottom w:val="single" w:sz="4" w:space="0" w:color="C9C0AC"/>
              <w:right w:val="single" w:sz="4" w:space="0" w:color="C9C0AC"/>
            </w:tcBorders>
            <w:shd w:val="clear" w:color="auto" w:fill="EFE9DB"/>
            <w:tcMar>
              <w:top w:w="30" w:type="dxa"/>
              <w:left w:w="30" w:type="dxa"/>
              <w:bottom w:w="30" w:type="dxa"/>
              <w:right w:w="30" w:type="dxa"/>
            </w:tcMar>
            <w:vAlign w:val="center"/>
          </w:tcPr>
          <w:p w14:paraId="5572DA82" w14:textId="77777777" w:rsidR="007749E6" w:rsidRDefault="00000000">
            <w:pPr>
              <w:spacing w:line="200" w:lineRule="auto"/>
              <w:jc w:val="center"/>
            </w:pPr>
            <w:r>
              <w:rPr>
                <w:b/>
                <w:bCs/>
                <w:sz w:val="15"/>
                <w:szCs w:val="15"/>
              </w:rPr>
              <w:t>Disagree</w:t>
            </w:r>
          </w:p>
        </w:tc>
        <w:tc>
          <w:tcPr>
            <w:tcW w:w="1020" w:type="dxa"/>
            <w:tcBorders>
              <w:top w:val="single" w:sz="4" w:space="0" w:color="C9C0AC"/>
              <w:left w:val="single" w:sz="4" w:space="0" w:color="C9C0AC"/>
              <w:bottom w:val="single" w:sz="4" w:space="0" w:color="C9C0AC"/>
              <w:right w:val="single" w:sz="4" w:space="0" w:color="C9C0AC"/>
            </w:tcBorders>
            <w:shd w:val="clear" w:color="auto" w:fill="EFE9DB"/>
            <w:tcMar>
              <w:top w:w="30" w:type="dxa"/>
              <w:left w:w="30" w:type="dxa"/>
              <w:bottom w:w="30" w:type="dxa"/>
              <w:right w:w="30" w:type="dxa"/>
            </w:tcMar>
            <w:vAlign w:val="center"/>
          </w:tcPr>
          <w:p w14:paraId="32358378" w14:textId="77777777" w:rsidR="007749E6" w:rsidRDefault="00000000">
            <w:pPr>
              <w:spacing w:line="200" w:lineRule="auto"/>
              <w:jc w:val="center"/>
            </w:pPr>
            <w:r>
              <w:rPr>
                <w:b/>
                <w:bCs/>
                <w:sz w:val="15"/>
                <w:szCs w:val="15"/>
              </w:rPr>
              <w:t>Strongly</w:t>
            </w:r>
          </w:p>
          <w:p w14:paraId="4A016F0E" w14:textId="77777777" w:rsidR="007749E6" w:rsidRDefault="00000000">
            <w:pPr>
              <w:spacing w:line="200" w:lineRule="auto"/>
              <w:jc w:val="center"/>
            </w:pPr>
            <w:r>
              <w:rPr>
                <w:b/>
                <w:bCs/>
                <w:sz w:val="15"/>
                <w:szCs w:val="15"/>
              </w:rPr>
              <w:t>disagree</w:t>
            </w:r>
          </w:p>
        </w:tc>
      </w:tr>
      <w:tr w:rsidR="007749E6" w14:paraId="2B50A990" w14:textId="77777777" w:rsidTr="009D7B22">
        <w:trPr>
          <w:trHeight w:val="624"/>
        </w:trPr>
        <w:tc>
          <w:tcPr>
            <w:tcW w:w="4790" w:type="dxa"/>
            <w:tcBorders>
              <w:top w:val="single" w:sz="4" w:space="0" w:color="C9C0AC"/>
              <w:left w:val="single" w:sz="4" w:space="0" w:color="C9C0AC"/>
              <w:bottom w:val="single" w:sz="4" w:space="0" w:color="C9C0AC"/>
              <w:right w:val="single" w:sz="4" w:space="0" w:color="C9C0AC"/>
            </w:tcBorders>
            <w:shd w:val="clear" w:color="auto" w:fill="FFFFFF"/>
            <w:tcMar>
              <w:top w:w="36" w:type="dxa"/>
              <w:left w:w="90" w:type="dxa"/>
              <w:bottom w:w="36" w:type="dxa"/>
              <w:right w:w="90" w:type="dxa"/>
            </w:tcMar>
            <w:vAlign w:val="center"/>
          </w:tcPr>
          <w:p w14:paraId="23721D34" w14:textId="77777777" w:rsidR="007749E6" w:rsidRDefault="00000000">
            <w:pPr>
              <w:spacing w:line="205" w:lineRule="auto"/>
            </w:pPr>
            <w:r>
              <w:rPr>
                <w:sz w:val="18"/>
                <w:szCs w:val="18"/>
              </w:rPr>
              <w:t>Lyminge would benefit from a small number of new family homes in this sustainable village location.</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6BD708DD"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337BF03C"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34BC01A5"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2B97D43C"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7AB5CB99" w14:textId="77777777" w:rsidR="007749E6" w:rsidRDefault="00000000">
            <w:pPr>
              <w:jc w:val="center"/>
            </w:pPr>
            <w:r>
              <w:rPr>
                <w:color w:val="8A8A8A"/>
                <w:sz w:val="22"/>
                <w:szCs w:val="22"/>
              </w:rPr>
              <w:t>○</w:t>
            </w:r>
          </w:p>
        </w:tc>
      </w:tr>
      <w:tr w:rsidR="007749E6" w14:paraId="46BE5533" w14:textId="77777777" w:rsidTr="009D7B22">
        <w:trPr>
          <w:trHeight w:val="615"/>
        </w:trPr>
        <w:tc>
          <w:tcPr>
            <w:tcW w:w="4790" w:type="dxa"/>
            <w:tcBorders>
              <w:top w:val="single" w:sz="4" w:space="0" w:color="C9C0AC"/>
              <w:left w:val="single" w:sz="4" w:space="0" w:color="C9C0AC"/>
              <w:bottom w:val="single" w:sz="4" w:space="0" w:color="C9C0AC"/>
              <w:right w:val="single" w:sz="4" w:space="0" w:color="C9C0AC"/>
            </w:tcBorders>
            <w:shd w:val="clear" w:color="auto" w:fill="F6F3EC"/>
            <w:tcMar>
              <w:top w:w="36" w:type="dxa"/>
              <w:left w:w="90" w:type="dxa"/>
              <w:bottom w:w="36" w:type="dxa"/>
              <w:right w:w="90" w:type="dxa"/>
            </w:tcMar>
            <w:vAlign w:val="center"/>
          </w:tcPr>
          <w:p w14:paraId="5085D240" w14:textId="77777777" w:rsidR="007749E6" w:rsidRDefault="00000000">
            <w:pPr>
              <w:spacing w:line="205" w:lineRule="auto"/>
            </w:pPr>
            <w:r>
              <w:rPr>
                <w:sz w:val="18"/>
                <w:szCs w:val="18"/>
              </w:rPr>
              <w:t>The low-density, landscape-led layout is appropriate to this part of the village.</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38DFD264"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7D972ACE"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2B5210EE"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06604A1D"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3707F13C" w14:textId="77777777" w:rsidR="007749E6" w:rsidRDefault="00000000">
            <w:pPr>
              <w:jc w:val="center"/>
            </w:pPr>
            <w:r>
              <w:rPr>
                <w:color w:val="8A8A8A"/>
                <w:sz w:val="22"/>
                <w:szCs w:val="22"/>
              </w:rPr>
              <w:t>○</w:t>
            </w:r>
          </w:p>
        </w:tc>
      </w:tr>
      <w:tr w:rsidR="007749E6" w14:paraId="75183605" w14:textId="77777777" w:rsidTr="009D7B22">
        <w:trPr>
          <w:trHeight w:val="607"/>
        </w:trPr>
        <w:tc>
          <w:tcPr>
            <w:tcW w:w="4790" w:type="dxa"/>
            <w:tcBorders>
              <w:top w:val="single" w:sz="4" w:space="0" w:color="C9C0AC"/>
              <w:left w:val="single" w:sz="4" w:space="0" w:color="C9C0AC"/>
              <w:bottom w:val="single" w:sz="4" w:space="0" w:color="C9C0AC"/>
              <w:right w:val="single" w:sz="4" w:space="0" w:color="C9C0AC"/>
            </w:tcBorders>
            <w:shd w:val="clear" w:color="auto" w:fill="FFFFFF"/>
            <w:tcMar>
              <w:top w:w="36" w:type="dxa"/>
              <w:left w:w="90" w:type="dxa"/>
              <w:bottom w:w="36" w:type="dxa"/>
              <w:right w:w="90" w:type="dxa"/>
            </w:tcMar>
            <w:vAlign w:val="center"/>
          </w:tcPr>
          <w:p w14:paraId="0ED76D88" w14:textId="77777777" w:rsidR="007749E6" w:rsidRDefault="00000000">
            <w:pPr>
              <w:spacing w:line="205" w:lineRule="auto"/>
            </w:pPr>
            <w:r>
              <w:rPr>
                <w:sz w:val="18"/>
                <w:szCs w:val="18"/>
              </w:rPr>
              <w:t>Retaining existing trees and hedgerows, with new native planting, is a positive approach.</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7991B260"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65750103"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54B4BEE8"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350CBCEC"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44B88020" w14:textId="77777777" w:rsidR="007749E6" w:rsidRDefault="00000000">
            <w:pPr>
              <w:jc w:val="center"/>
            </w:pPr>
            <w:r>
              <w:rPr>
                <w:color w:val="8A8A8A"/>
                <w:sz w:val="22"/>
                <w:szCs w:val="22"/>
              </w:rPr>
              <w:t>○</w:t>
            </w:r>
          </w:p>
        </w:tc>
      </w:tr>
      <w:tr w:rsidR="007749E6" w14:paraId="47E98414" w14:textId="77777777" w:rsidTr="009D7B22">
        <w:trPr>
          <w:trHeight w:val="667"/>
        </w:trPr>
        <w:tc>
          <w:tcPr>
            <w:tcW w:w="4790" w:type="dxa"/>
            <w:tcBorders>
              <w:top w:val="single" w:sz="4" w:space="0" w:color="C9C0AC"/>
              <w:left w:val="single" w:sz="4" w:space="0" w:color="C9C0AC"/>
              <w:bottom w:val="single" w:sz="4" w:space="0" w:color="C9C0AC"/>
              <w:right w:val="single" w:sz="4" w:space="0" w:color="C9C0AC"/>
            </w:tcBorders>
            <w:shd w:val="clear" w:color="auto" w:fill="F6F3EC"/>
            <w:tcMar>
              <w:top w:w="36" w:type="dxa"/>
              <w:left w:w="90" w:type="dxa"/>
              <w:bottom w:w="36" w:type="dxa"/>
              <w:right w:w="90" w:type="dxa"/>
            </w:tcMar>
            <w:vAlign w:val="center"/>
          </w:tcPr>
          <w:p w14:paraId="3CDD5B52" w14:textId="77777777" w:rsidR="007749E6" w:rsidRDefault="00000000">
            <w:pPr>
              <w:spacing w:line="205" w:lineRule="auto"/>
            </w:pPr>
            <w:r>
              <w:rPr>
                <w:sz w:val="18"/>
                <w:szCs w:val="18"/>
              </w:rPr>
              <w:t>The traditional, village-character design (pitched roofs, brick and timber) suits Lyminge.</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13053C39"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4AE40B9B"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299E1C4A"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31B01AB3"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4BFD1A5F" w14:textId="77777777" w:rsidR="007749E6" w:rsidRDefault="00000000">
            <w:pPr>
              <w:jc w:val="center"/>
            </w:pPr>
            <w:r>
              <w:rPr>
                <w:color w:val="8A8A8A"/>
                <w:sz w:val="22"/>
                <w:szCs w:val="22"/>
              </w:rPr>
              <w:t>○</w:t>
            </w:r>
          </w:p>
        </w:tc>
      </w:tr>
      <w:tr w:rsidR="007749E6" w14:paraId="31B1820B" w14:textId="77777777" w:rsidTr="009D7B22">
        <w:trPr>
          <w:trHeight w:val="622"/>
        </w:trPr>
        <w:tc>
          <w:tcPr>
            <w:tcW w:w="4790" w:type="dxa"/>
            <w:tcBorders>
              <w:top w:val="single" w:sz="4" w:space="0" w:color="C9C0AC"/>
              <w:left w:val="single" w:sz="4" w:space="0" w:color="C9C0AC"/>
              <w:bottom w:val="single" w:sz="4" w:space="0" w:color="C9C0AC"/>
              <w:right w:val="single" w:sz="4" w:space="0" w:color="C9C0AC"/>
            </w:tcBorders>
            <w:shd w:val="clear" w:color="auto" w:fill="FFFFFF"/>
            <w:tcMar>
              <w:top w:w="36" w:type="dxa"/>
              <w:left w:w="90" w:type="dxa"/>
              <w:bottom w:w="36" w:type="dxa"/>
              <w:right w:w="90" w:type="dxa"/>
            </w:tcMar>
            <w:vAlign w:val="center"/>
          </w:tcPr>
          <w:p w14:paraId="647CDDBD" w14:textId="77777777" w:rsidR="007749E6" w:rsidRDefault="00000000">
            <w:pPr>
              <w:spacing w:line="205" w:lineRule="auto"/>
            </w:pPr>
            <w:r>
              <w:rPr>
                <w:sz w:val="18"/>
                <w:szCs w:val="18"/>
              </w:rPr>
              <w:t>The proposed access from Canterbury Road and retained bus stop arrangements are acceptable.</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255379C6"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0E7359CE"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7A48E223"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591862A8"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178DB04F" w14:textId="77777777" w:rsidR="007749E6" w:rsidRDefault="00000000">
            <w:pPr>
              <w:jc w:val="center"/>
            </w:pPr>
            <w:r>
              <w:rPr>
                <w:color w:val="8A8A8A"/>
                <w:sz w:val="22"/>
                <w:szCs w:val="22"/>
              </w:rPr>
              <w:t>○</w:t>
            </w:r>
          </w:p>
        </w:tc>
      </w:tr>
      <w:tr w:rsidR="007749E6" w14:paraId="3BA53146" w14:textId="77777777" w:rsidTr="009D7B22">
        <w:trPr>
          <w:trHeight w:val="632"/>
        </w:trPr>
        <w:tc>
          <w:tcPr>
            <w:tcW w:w="4790" w:type="dxa"/>
            <w:tcBorders>
              <w:top w:val="single" w:sz="4" w:space="0" w:color="C9C0AC"/>
              <w:left w:val="single" w:sz="4" w:space="0" w:color="C9C0AC"/>
              <w:bottom w:val="single" w:sz="4" w:space="0" w:color="C9C0AC"/>
              <w:right w:val="single" w:sz="4" w:space="0" w:color="C9C0AC"/>
            </w:tcBorders>
            <w:shd w:val="clear" w:color="auto" w:fill="F6F3EC"/>
            <w:tcMar>
              <w:top w:w="36" w:type="dxa"/>
              <w:left w:w="90" w:type="dxa"/>
              <w:bottom w:w="36" w:type="dxa"/>
              <w:right w:w="90" w:type="dxa"/>
            </w:tcMar>
            <w:vAlign w:val="center"/>
          </w:tcPr>
          <w:p w14:paraId="01D6B472" w14:textId="77777777" w:rsidR="007749E6" w:rsidRDefault="00000000">
            <w:pPr>
              <w:spacing w:line="205" w:lineRule="auto"/>
            </w:pPr>
            <w:r>
              <w:rPr>
                <w:sz w:val="18"/>
                <w:szCs w:val="18"/>
              </w:rPr>
              <w:t>Delivering at least 10% biodiversity net gain and accessible open space is welcome.</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24D521BA"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1F7BABC6"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6679952E"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615D0623"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6F3EC"/>
            <w:tcMar>
              <w:top w:w="36" w:type="dxa"/>
              <w:left w:w="30" w:type="dxa"/>
              <w:bottom w:w="36" w:type="dxa"/>
              <w:right w:w="30" w:type="dxa"/>
            </w:tcMar>
            <w:vAlign w:val="center"/>
          </w:tcPr>
          <w:p w14:paraId="48C1534B" w14:textId="77777777" w:rsidR="007749E6" w:rsidRDefault="00000000">
            <w:pPr>
              <w:jc w:val="center"/>
            </w:pPr>
            <w:r>
              <w:rPr>
                <w:color w:val="8A8A8A"/>
                <w:sz w:val="22"/>
                <w:szCs w:val="22"/>
              </w:rPr>
              <w:t>○</w:t>
            </w:r>
          </w:p>
        </w:tc>
      </w:tr>
      <w:tr w:rsidR="007749E6" w14:paraId="2A2E8D5D" w14:textId="77777777" w:rsidTr="009D7B22">
        <w:trPr>
          <w:trHeight w:val="330"/>
        </w:trPr>
        <w:tc>
          <w:tcPr>
            <w:tcW w:w="4790" w:type="dxa"/>
            <w:tcBorders>
              <w:top w:val="single" w:sz="4" w:space="0" w:color="C9C0AC"/>
              <w:left w:val="single" w:sz="4" w:space="0" w:color="C9C0AC"/>
              <w:bottom w:val="single" w:sz="4" w:space="0" w:color="C9C0AC"/>
              <w:right w:val="single" w:sz="4" w:space="0" w:color="C9C0AC"/>
            </w:tcBorders>
            <w:shd w:val="clear" w:color="auto" w:fill="FFFFFF"/>
            <w:tcMar>
              <w:top w:w="36" w:type="dxa"/>
              <w:left w:w="90" w:type="dxa"/>
              <w:bottom w:w="36" w:type="dxa"/>
              <w:right w:w="90" w:type="dxa"/>
            </w:tcMar>
            <w:vAlign w:val="center"/>
          </w:tcPr>
          <w:p w14:paraId="4B6019C7" w14:textId="77777777" w:rsidR="007749E6" w:rsidRDefault="00000000">
            <w:pPr>
              <w:spacing w:line="205" w:lineRule="auto"/>
            </w:pPr>
            <w:r>
              <w:rPr>
                <w:sz w:val="18"/>
                <w:szCs w:val="18"/>
              </w:rPr>
              <w:t>Overall, I support these proposals coming forward.</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40C9CED8"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19110F5C"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3E86FC90"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5B93E65E" w14:textId="77777777" w:rsidR="007749E6" w:rsidRDefault="00000000">
            <w:pPr>
              <w:jc w:val="center"/>
            </w:pPr>
            <w:r>
              <w:rPr>
                <w:color w:val="8A8A8A"/>
                <w:sz w:val="22"/>
                <w:szCs w:val="22"/>
              </w:rPr>
              <w:t>○</w:t>
            </w:r>
          </w:p>
        </w:tc>
        <w:tc>
          <w:tcPr>
            <w:tcW w:w="1020" w:type="dxa"/>
            <w:tcBorders>
              <w:top w:val="single" w:sz="4" w:space="0" w:color="C9C0AC"/>
              <w:left w:val="single" w:sz="4" w:space="0" w:color="C9C0AC"/>
              <w:bottom w:val="single" w:sz="4" w:space="0" w:color="C9C0AC"/>
              <w:right w:val="single" w:sz="4" w:space="0" w:color="C9C0AC"/>
            </w:tcBorders>
            <w:shd w:val="clear" w:color="auto" w:fill="FFFFFF"/>
            <w:tcMar>
              <w:top w:w="36" w:type="dxa"/>
              <w:left w:w="30" w:type="dxa"/>
              <w:bottom w:w="36" w:type="dxa"/>
              <w:right w:w="30" w:type="dxa"/>
            </w:tcMar>
            <w:vAlign w:val="center"/>
          </w:tcPr>
          <w:p w14:paraId="53F99DFB" w14:textId="77777777" w:rsidR="007749E6" w:rsidRDefault="00000000">
            <w:pPr>
              <w:jc w:val="center"/>
            </w:pPr>
            <w:r>
              <w:rPr>
                <w:color w:val="8A8A8A"/>
                <w:sz w:val="22"/>
                <w:szCs w:val="22"/>
              </w:rPr>
              <w:t>○</w:t>
            </w:r>
          </w:p>
        </w:tc>
      </w:tr>
    </w:tbl>
    <w:p w14:paraId="56F1E0D5" w14:textId="77777777" w:rsidR="007749E6" w:rsidRDefault="00000000">
      <w:pPr>
        <w:shd w:val="clear" w:color="auto" w:fill="151513"/>
        <w:spacing w:before="140" w:after="60"/>
      </w:pPr>
      <w:r>
        <w:rPr>
          <w:b/>
          <w:bCs/>
          <w:color w:val="CBB07E"/>
          <w:sz w:val="20"/>
          <w:szCs w:val="20"/>
        </w:rPr>
        <w:t xml:space="preserve">  C.  </w:t>
      </w:r>
      <w:r>
        <w:rPr>
          <w:b/>
          <w:bCs/>
          <w:color w:val="FFFFFF"/>
          <w:sz w:val="20"/>
          <w:szCs w:val="20"/>
        </w:rPr>
        <w:t>What would you most like us to prioritise?</w:t>
      </w:r>
    </w:p>
    <w:p w14:paraId="184B2020" w14:textId="77777777" w:rsidR="007749E6" w:rsidRDefault="00000000">
      <w:pPr>
        <w:spacing w:after="40"/>
      </w:pPr>
      <w:r>
        <w:rPr>
          <w:sz w:val="18"/>
          <w:szCs w:val="18"/>
        </w:rPr>
        <w:t>As the scheme develops, which of these matter most to you? (please tick up to three)</w:t>
      </w:r>
    </w:p>
    <w:p w14:paraId="151C2FD0" w14:textId="77777777" w:rsidR="007749E6" w:rsidRDefault="00000000">
      <w:pPr>
        <w:spacing w:after="30"/>
      </w:pPr>
      <w:r>
        <w:rPr>
          <w:sz w:val="18"/>
          <w:szCs w:val="18"/>
        </w:rPr>
        <w:t xml:space="preserve">☐ Retaining mature trees &amp; hedgerows    ☐ Native planting &amp; wildlife    ☐ Village-character design    </w:t>
      </w:r>
    </w:p>
    <w:p w14:paraId="7562FD46" w14:textId="77777777" w:rsidR="007749E6" w:rsidRDefault="00000000">
      <w:pPr>
        <w:spacing w:after="60"/>
      </w:pPr>
      <w:r>
        <w:rPr>
          <w:sz w:val="18"/>
          <w:szCs w:val="18"/>
        </w:rPr>
        <w:t xml:space="preserve">☐ Highway &amp; pedestrian safety    ☐ Walking access to village facilities    ☐ Affordable / local family housing    </w:t>
      </w:r>
    </w:p>
    <w:p w14:paraId="719B67E7" w14:textId="4A581218" w:rsidR="007749E6" w:rsidRDefault="00000000">
      <w:pPr>
        <w:shd w:val="clear" w:color="auto" w:fill="151513"/>
        <w:spacing w:before="140" w:after="60"/>
      </w:pPr>
      <w:r>
        <w:rPr>
          <w:b/>
          <w:bCs/>
          <w:color w:val="CBB07E"/>
          <w:sz w:val="20"/>
          <w:szCs w:val="20"/>
        </w:rPr>
        <w:t xml:space="preserve">  D.  </w:t>
      </w:r>
      <w:r>
        <w:rPr>
          <w:b/>
          <w:bCs/>
          <w:color w:val="FFFFFF"/>
          <w:sz w:val="20"/>
          <w:szCs w:val="20"/>
        </w:rPr>
        <w:t>Anything you particularly like, or suggestion</w:t>
      </w:r>
      <w:r w:rsidR="007232AD">
        <w:rPr>
          <w:b/>
          <w:bCs/>
          <w:color w:val="FFFFFF"/>
          <w:sz w:val="20"/>
          <w:szCs w:val="20"/>
        </w:rPr>
        <w:t>s</w:t>
      </w:r>
      <w:r>
        <w:rPr>
          <w:b/>
          <w:bCs/>
          <w:color w:val="FFFFFF"/>
          <w:sz w:val="20"/>
          <w:szCs w:val="20"/>
        </w:rPr>
        <w:t xml:space="preserve"> to improve the scheme?</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0"/>
      </w:tblGrid>
      <w:tr w:rsidR="007749E6" w14:paraId="5328C449" w14:textId="77777777" w:rsidTr="009D7B22">
        <w:trPr>
          <w:trHeight w:val="3808"/>
        </w:trPr>
        <w:tc>
          <w:tcPr>
            <w:tcW w:w="9890" w:type="dxa"/>
            <w:tcBorders>
              <w:top w:val="single" w:sz="4" w:space="0" w:color="C9C0AC"/>
              <w:left w:val="single" w:sz="4" w:space="0" w:color="C9C0AC"/>
              <w:bottom w:val="single" w:sz="4" w:space="0" w:color="C9C0AC"/>
              <w:right w:val="single" w:sz="4" w:space="0" w:color="C9C0AC"/>
            </w:tcBorders>
            <w:tcMar>
              <w:top w:w="60" w:type="dxa"/>
              <w:left w:w="90" w:type="dxa"/>
              <w:bottom w:w="150" w:type="dxa"/>
              <w:right w:w="90" w:type="dxa"/>
            </w:tcMar>
          </w:tcPr>
          <w:p w14:paraId="71EE0452" w14:textId="77777777" w:rsidR="007749E6" w:rsidRDefault="007749E6"/>
        </w:tc>
      </w:tr>
    </w:tbl>
    <w:p w14:paraId="5DFF0028" w14:textId="77777777" w:rsidR="007749E6" w:rsidRDefault="00000000">
      <w:pPr>
        <w:shd w:val="clear" w:color="auto" w:fill="151513"/>
        <w:spacing w:before="140" w:after="60"/>
      </w:pPr>
      <w:r>
        <w:rPr>
          <w:b/>
          <w:bCs/>
          <w:color w:val="CBB07E"/>
          <w:sz w:val="20"/>
          <w:szCs w:val="20"/>
        </w:rPr>
        <w:t xml:space="preserve">  E.  </w:t>
      </w:r>
      <w:r>
        <w:rPr>
          <w:b/>
          <w:bCs/>
          <w:color w:val="FFFFFF"/>
          <w:sz w:val="20"/>
          <w:szCs w:val="20"/>
        </w:rPr>
        <w:t>Keep in touch (optional)</w:t>
      </w:r>
    </w:p>
    <w:p w14:paraId="1AB5DDFE" w14:textId="77777777" w:rsidR="007749E6" w:rsidRDefault="00000000">
      <w:pPr>
        <w:spacing w:before="40" w:after="30"/>
      </w:pPr>
      <w:r>
        <w:t>Name: ____________________________        Email: ____________________________</w:t>
      </w:r>
    </w:p>
    <w:p w14:paraId="4E121C7C" w14:textId="77777777" w:rsidR="007749E6" w:rsidRDefault="00000000">
      <w:r>
        <w:t xml:space="preserve">☐ Please keep me updated on this scheme by email    </w:t>
      </w:r>
    </w:p>
    <w:p w14:paraId="27DB9844" w14:textId="77777777" w:rsidR="007749E6" w:rsidRDefault="00000000">
      <w:pPr>
        <w:pBdr>
          <w:top w:val="single" w:sz="10" w:space="4" w:color="B69B6B"/>
        </w:pBdr>
        <w:spacing w:before="100"/>
      </w:pPr>
      <w:r>
        <w:rPr>
          <w:color w:val="555555"/>
          <w:sz w:val="15"/>
          <w:szCs w:val="15"/>
        </w:rPr>
        <w:t>Prefer to respond another way? Email quinnestates@quinn-estates.com by 03/07/2026. A summary of feedback and our response will accompany the application. Folkestone &amp; Hythe District Council will also run its own formal consultation once the application is submitted.</w:t>
      </w:r>
    </w:p>
    <w:p w14:paraId="2E6D2CAA" w14:textId="77777777" w:rsidR="007749E6" w:rsidRDefault="00000000">
      <w:pPr>
        <w:spacing w:before="30"/>
      </w:pPr>
      <w:r>
        <w:rPr>
          <w:i/>
          <w:iCs/>
          <w:color w:val="8A8A8A"/>
          <w:sz w:val="13"/>
          <w:szCs w:val="13"/>
        </w:rPr>
        <w:t>Quinn Estates Ltd will only use your details to provide updates on this scheme and will not share them with third parties. You can ask to be removed at any time.</w:t>
      </w:r>
    </w:p>
    <w:sectPr w:rsidR="007749E6">
      <w:pgSz w:w="11906" w:h="16838"/>
      <w:pgMar w:top="648" w:right="1008" w:bottom="504"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C36E9"/>
    <w:multiLevelType w:val="hybridMultilevel"/>
    <w:tmpl w:val="50A8B4F8"/>
    <w:lvl w:ilvl="0" w:tplc="0290D0EA">
      <w:start w:val="1"/>
      <w:numFmt w:val="bullet"/>
      <w:lvlText w:val="●"/>
      <w:lvlJc w:val="left"/>
      <w:pPr>
        <w:ind w:left="720" w:hanging="360"/>
      </w:pPr>
    </w:lvl>
    <w:lvl w:ilvl="1" w:tplc="5566C5DC">
      <w:start w:val="1"/>
      <w:numFmt w:val="bullet"/>
      <w:lvlText w:val="○"/>
      <w:lvlJc w:val="left"/>
      <w:pPr>
        <w:ind w:left="1440" w:hanging="360"/>
      </w:pPr>
    </w:lvl>
    <w:lvl w:ilvl="2" w:tplc="FAE49D1A">
      <w:start w:val="1"/>
      <w:numFmt w:val="bullet"/>
      <w:lvlText w:val="■"/>
      <w:lvlJc w:val="left"/>
      <w:pPr>
        <w:ind w:left="2160" w:hanging="360"/>
      </w:pPr>
    </w:lvl>
    <w:lvl w:ilvl="3" w:tplc="7E7A9F98">
      <w:start w:val="1"/>
      <w:numFmt w:val="bullet"/>
      <w:lvlText w:val="●"/>
      <w:lvlJc w:val="left"/>
      <w:pPr>
        <w:ind w:left="2880" w:hanging="360"/>
      </w:pPr>
    </w:lvl>
    <w:lvl w:ilvl="4" w:tplc="F0A0E938">
      <w:start w:val="1"/>
      <w:numFmt w:val="bullet"/>
      <w:lvlText w:val="○"/>
      <w:lvlJc w:val="left"/>
      <w:pPr>
        <w:ind w:left="3600" w:hanging="360"/>
      </w:pPr>
    </w:lvl>
    <w:lvl w:ilvl="5" w:tplc="AED6D662">
      <w:start w:val="1"/>
      <w:numFmt w:val="bullet"/>
      <w:lvlText w:val="■"/>
      <w:lvlJc w:val="left"/>
      <w:pPr>
        <w:ind w:left="4320" w:hanging="360"/>
      </w:pPr>
    </w:lvl>
    <w:lvl w:ilvl="6" w:tplc="E738F000">
      <w:start w:val="1"/>
      <w:numFmt w:val="bullet"/>
      <w:lvlText w:val="●"/>
      <w:lvlJc w:val="left"/>
      <w:pPr>
        <w:ind w:left="5040" w:hanging="360"/>
      </w:pPr>
    </w:lvl>
    <w:lvl w:ilvl="7" w:tplc="EF68F8F6">
      <w:start w:val="1"/>
      <w:numFmt w:val="bullet"/>
      <w:lvlText w:val="●"/>
      <w:lvlJc w:val="left"/>
      <w:pPr>
        <w:ind w:left="5760" w:hanging="360"/>
      </w:pPr>
    </w:lvl>
    <w:lvl w:ilvl="8" w:tplc="88FCC41A">
      <w:start w:val="1"/>
      <w:numFmt w:val="bullet"/>
      <w:lvlText w:val="●"/>
      <w:lvlJc w:val="left"/>
      <w:pPr>
        <w:ind w:left="6480" w:hanging="360"/>
      </w:pPr>
    </w:lvl>
  </w:abstractNum>
  <w:num w:numId="1" w16cid:durableId="21258788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E6"/>
    <w:rsid w:val="004E2340"/>
    <w:rsid w:val="006E59DD"/>
    <w:rsid w:val="007232AD"/>
    <w:rsid w:val="007749E6"/>
    <w:rsid w:val="009D7B22"/>
    <w:rsid w:val="00E45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E76F"/>
  <w15:docId w15:val="{5441ADA2-45FC-4C88-B238-C41770BF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9"/>
        <w:szCs w:val="19"/>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Nick Webb</cp:lastModifiedBy>
  <cp:revision>3</cp:revision>
  <dcterms:created xsi:type="dcterms:W3CDTF">2026-06-22T10:06:00Z</dcterms:created>
  <dcterms:modified xsi:type="dcterms:W3CDTF">2026-06-22T10:08:00Z</dcterms:modified>
</cp:coreProperties>
</file>